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CN-0273 · Legal History</w:t>
      </w:r>
    </w:p>
    <w:p>
      <w:pPr>
        <w:pStyle w:val="Title"/>
      </w:pPr>
      <w:r>
        <w:t xml:space="preserve">Mitakshara and Dayabhaga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schools of Hindu law, their different views of when a son’s right arises, and what is left of the difference.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https://firstprecedent.org/concepts/mitakshara-and-dayabhaga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