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CN-0205 · Contract</w:t>
      </w:r>
    </w:p>
    <w:p>
      <w:pPr>
        <w:pStyle w:val="Title"/>
      </w:pPr>
      <w:r>
        <w:t xml:space="preserve">Mistake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When a shared mistake about an essential fact makes an agreement void, and why a mistake of law or by one party does not.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20–22</w:t>
      </w:r>
    </w:p>
    <w:p>
      <w:pPr>
        <w:pStyle w:val="Bullet"/>
      </w:pPr>
      <w:r>
        <w:t xml:space="preserve">•  Tarsem Singh v. Sukhminder Singh, (1998) 3 SCC 471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https://firstprecedent.org/concepts/mistake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