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CN-0473 · Tort</w:t>
      </w:r>
    </w:p>
    <w:p>
      <w:pPr>
        <w:pStyle w:val="Title"/>
      </w:pPr>
      <w:r>
        <w:t xml:space="preserve">Misfeasance in Public Office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tort committed by a public officer who abuses power knowingly or with reckless indifference, and what a claimant must prove.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Common Cause v. Union of India, (1999) 6 SCC 667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https://firstprecedent.org/concepts/misfeasance-in-public-office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