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CN-0478 · Criminal</w:t>
      </w:r>
    </w:p>
    <w:p>
      <w:pPr>
        <w:pStyle w:val="Title"/>
      </w:pPr>
      <w:r>
        <w:t xml:space="preserve">Mischief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Destroying or damaging property with intent or knowledge that wrongful loss will follow to the public or any person.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425 (now Bharatiya Nyaya Sanhita, 2023, § 324)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https://firstprecedent.org/concepts/mischief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