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CN-0015 · Criminal</w:t>
      </w:r>
    </w:p>
    <w:p>
      <w:pPr>
        <w:pStyle w:val="Title"/>
      </w:pPr>
      <w:r>
        <w:t xml:space="preserve">Mens Rea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mental element in Indian criminal law: how the Penal Code builds it into each definition, and when statutes dispense with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Maharashtra v. M.H. George, AIR 1965 SC 722</w:t>
      </w:r>
    </w:p>
    <w:p>
      <w:pPr>
        <w:pStyle w:val="Bullet"/>
      </w:pPr>
      <w:r>
        <w:t xml:space="preserve">•  Nathulal v. State of M.P., AIR 1966 SC 43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https://firstprecedent.org/concepts/mens-rea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