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CN-0196 · Civil Procedure</w:t>
      </w:r>
    </w:p>
    <w:p>
      <w:pPr>
        <w:pStyle w:val="Title"/>
      </w:pPr>
      <w:r>
        <w:t xml:space="preserve">Mediation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Settlement with the help of a neutral third person, court-referred and under the 2023 Act, and the status of the settlement reached.</w:t>
      </w:r>
    </w:p>
    <w:p>
      <w:pPr>
        <w:pStyle w:val="Guidance"/>
      </w:pPr>
      <w:r>
        <w:t xml:space="preserve">Authorities to start from. These are places to begin, listed by the editors. Read each one in the original and check the citation before you rely on it.</w:t>
      </w:r>
    </w:p>
    <w:p>
      <w:pPr>
        <w:pStyle w:val="Bullet"/>
      </w:pPr>
      <w:r>
        <w:t xml:space="preserve">•  Mediation Act, 2023</w:t>
      </w:r>
    </w:p>
    <w:p>
      <w:pPr>
        <w:pStyle w:val="Bullet"/>
      </w:pPr>
      <w:r>
        <w:t xml:space="preserve">•  Code of Civil Procedure, 1908, § 89</w:t>
      </w:r>
    </w:p>
    <w:p>
      <w:pPr>
        <w:pStyle w:val="Bullet"/>
      </w:pPr>
      <w:r>
        <w:t xml:space="preserve">•  Afcons Infrastructure Ltd. v. Cherian Varkey Construction Co. (P) Ltd., (2010) 8 SCC 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https://firstprecedent.org/concepts/mediation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