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CN-0349 · Labour</w:t>
      </w:r>
    </w:p>
    <w:p>
      <w:pPr>
        <w:pStyle w:val="Title"/>
      </w:pPr>
      <w:r>
        <w:t xml:space="preserve">Maternity Benefit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Paid leave and protection from dismissal around childbirth, and its extension to women on casual and daily-wage terms.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Maternity Benefit Act, 1961</w:t>
      </w:r>
    </w:p>
    <w:p>
      <w:pPr>
        <w:pStyle w:val="Bullet"/>
      </w:pPr>
      <w:r>
        <w:t xml:space="preserve">•  Municipal Corpn. of Delhi v. Female Workers (Muster Roll), (2000) 3 SCC 224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https://firstprecedent.org/concepts/maternity-benefit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