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CN-0401 · International (Public)</w:t>
      </w:r>
    </w:p>
    <w:p>
      <w:pPr>
        <w:pStyle w:val="Title"/>
      </w:pPr>
      <w:r>
        <w:t xml:space="preserve">Maritime Zones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territorial sea, contiguous zone, exclusive economic zone and continental shelf, and what a coastal State may do in each.</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Nations Convention on the Law of the Sea arts. 3, 33, 57, 76, Dec. 10, 1982, 1833 U.N.T.S. 3</w:t>
      </w:r>
    </w:p>
    <w:p>
      <w:pPr>
        <w:pStyle w:val="Bullet"/>
      </w:pPr>
      <w:r>
        <w:t xml:space="preserve">•  Territorial Waters, Continental Shelf, Exclusive Economic Zone and Other Maritime Zones Act, 1976</w:t>
      </w:r>
    </w:p>
    <w:p>
      <w:pPr>
        <w:pStyle w:val="Bullet"/>
      </w:pPr>
      <w:r>
        <w:t xml:space="preserve">•  Republic of Italy v. Union of India, (2013) 4 SCC 721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https://firstprecedent.org/concepts/maritime-zones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