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CN-0416 · Human Rights</w:t>
      </w:r>
    </w:p>
    <w:p>
      <w:pPr>
        <w:pStyle w:val="Title"/>
      </w:pPr>
      <w:r>
        <w:t xml:space="preserve">Manual Scavenging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prohibited practice of cleaning human waste by hand, the duty to rehabilitate, and compensation for sewer deaths.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Prohibition of Employment as Manual Scavengers and their Rehabilitation Act, 2013</w:t>
      </w:r>
    </w:p>
    <w:p>
      <w:pPr>
        <w:pStyle w:val="Bullet"/>
      </w:pPr>
      <w:r>
        <w:t xml:space="preserve">•  Safai Karamchari Andolan v. Union of India, (2014) 11 SCC 224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https://firstprecedent.org/concepts/manual-scavenging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