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CN-0495 · Criminal</w:t>
      </w:r>
    </w:p>
    <w:p>
      <w:pPr>
        <w:pStyle w:val="Title"/>
      </w:pPr>
      <w:r>
        <w:t xml:space="preserve">Mandatory Reporting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of any person who knows of a sexual offence against a child to report it, and the penalty for silence.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Children from Sexual Offences Act, 2012, §§ 19,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https://firstprecedent.org/concepts/mandatory-reporting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