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CN-0120 · Administrative</w:t>
      </w:r>
    </w:p>
    <w:p>
      <w:pPr>
        <w:pStyle w:val="Title"/>
      </w:pPr>
      <w:r>
        <w:t xml:space="preserve">Mala Fides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Bad faith in the use of a public power, the difference between malice in fact and malice in law, and how it is proved.</w:t>
      </w:r>
    </w:p>
    <w:p>
      <w:pPr>
        <w:pStyle w:val="Guidance"/>
      </w:pPr>
      <w:r>
        <w:t xml:space="preserve">Authorities to start from. These are places to begin, listed by the editors. Read each one in the original and check the citation before you rely on it.</w:t>
      </w:r>
    </w:p>
    <w:p>
      <w:pPr>
        <w:pStyle w:val="Bullet"/>
      </w:pPr>
      <w:r>
        <w:t xml:space="preserve">•  S. Partap Singh v. State of Punjab, AIR 1964 SC 72</w:t>
      </w:r>
    </w:p>
    <w:p>
      <w:pPr>
        <w:pStyle w:val="Bullet"/>
      </w:pPr>
      <w:r>
        <w:t xml:space="preserve">•  E.P. Royappa v. State of T.N., (1974) 4 SCC 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https://firstprecedent.org/concepts/mala-fides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