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CN-0596 · Family</w:t>
      </w:r>
    </w:p>
    <w:p>
      <w:pPr>
        <w:pStyle w:val="Title"/>
      </w:pPr>
      <w:r>
        <w:t xml:space="preserve">Maintenance of Parents and Senior Citizens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of children and heirs to maintain the elderly, and the power to undo a transfer of property made on a promise of care.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Maintenance and Welfare of Parents and Senior Citizens Act, 2007, §§ 4, 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https://firstprecedent.org/concepts/maintenance-of-parents-and-senior-citizens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