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CN-0235 · Tort</w:t>
      </w:r>
    </w:p>
    <w:p>
      <w:pPr>
        <w:pStyle w:val="Title"/>
      </w:pPr>
      <w:r>
        <w:t xml:space="preserve">Loss of Consortium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Compensation for the loss of a spouse’s, parent’s or child’s company, and who may claim under each head.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Magma General Insurance Co. Ltd. v. Nanu Ram, (2018) 18 SCC 130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https://firstprecedent.org/concepts/loss-of-consortium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