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CN-0122 · Administrative</w:t>
      </w:r>
    </w:p>
    <w:p>
      <w:pPr>
        <w:pStyle w:val="Title"/>
      </w:pPr>
      <w:r>
        <w:t xml:space="preserve">Lokpal and Lokayukta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anti-corruption ombudsman for the Union and for the States: who may be investigated, by whom, and with what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Lokpal and Lokayuktas Act, 2013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https://firstprecedent.org/concepts/lokpal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