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CN-0195 · Civil Procedure</w:t>
      </w:r>
    </w:p>
    <w:p>
      <w:pPr>
        <w:pStyle w:val="Title"/>
      </w:pPr>
      <w:r>
        <w:t xml:space="preserve">Lok Adalat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forum that settles cases by compromise alone, why it cannot decide a contested case, and the finality of its award.</w:t>
      </w:r>
    </w:p>
    <w:p>
      <w:pPr>
        <w:pStyle w:val="Guidance"/>
      </w:pPr>
      <w:r>
        <w:t xml:space="preserve">Authorities to start from. These are places to begin, listed by the editors. Read each one in the original and check the citation before you rely on it.</w:t>
      </w:r>
    </w:p>
    <w:p>
      <w:pPr>
        <w:pStyle w:val="Bullet"/>
      </w:pPr>
      <w:r>
        <w:t xml:space="preserve">•  Legal Services Authorities Act, 1987, §§ 19–22</w:t>
      </w:r>
    </w:p>
    <w:p>
      <w:pPr>
        <w:pStyle w:val="Bullet"/>
      </w:pPr>
      <w:r>
        <w:t xml:space="preserve">•  State of Punjab v. Jalour Singh, (2008) 2 SCC 660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https://firstprecedent.org/concepts/lok-adalat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