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CN-0012 · Constitutional</w:t>
      </w:r>
    </w:p>
    <w:p>
      <w:pPr>
        <w:pStyle w:val="Title"/>
      </w:pPr>
      <w:r>
        <w:t xml:space="preserve">Locus Standi</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Who may move the court. The relaxation of standing for public interest litigation and the checks later added against abuse.</w:t>
      </w:r>
    </w:p>
    <w:p>
      <w:pPr>
        <w:pStyle w:val="Guidance"/>
      </w:pPr>
      <w:r>
        <w:t xml:space="preserve">Authorities to start from. These are places to begin, listed by the editors. Read each one in the original and check the citation before you rely on it.</w:t>
      </w:r>
    </w:p>
    <w:p>
      <w:pPr>
        <w:pStyle w:val="Bullet"/>
      </w:pPr>
      <w:r>
        <w:t xml:space="preserve">•  S.P. Gupta v. Union of India, 1981 Supp SCC 87</w:t>
      </w:r>
    </w:p>
    <w:p>
      <w:pPr>
        <w:pStyle w:val="Bullet"/>
      </w:pPr>
      <w:r>
        <w:t xml:space="preserve">•  Bandhua Mukti Morcha v. Union of India, (1984) 3 SCC 161</w:t>
      </w:r>
    </w:p>
    <w:p>
      <w:pPr>
        <w:pStyle w:val="Bullet"/>
      </w:pPr>
      <w:r>
        <w:t xml:space="preserve">•  State of Uttaranchal v. Balwant Singh Chaufal, (2010) 3 SCC 402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https://firstprecedent.org/concepts/locus-standi</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