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CN-0157 · Criminal</w:t>
      </w:r>
    </w:p>
    <w:p>
      <w:pPr>
        <w:pStyle w:val="Title"/>
      </w:pPr>
      <w:r>
        <w:t xml:space="preserve">Life Imprisonment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Why a life sentence means the whole of the convict’s natural life unless remitted, and the misconception that it ends at fourteen or twenty years.</w:t>
      </w:r>
    </w:p>
    <w:p>
      <w:pPr>
        <w:pStyle w:val="Guidance"/>
      </w:pPr>
      <w:r>
        <w:t xml:space="preserve">Authorities to start from. These are places to begin, listed by the editors. Read each one in the original and check the citation before you rely on it.</w:t>
      </w:r>
    </w:p>
    <w:p>
      <w:pPr>
        <w:pStyle w:val="Bullet"/>
      </w:pPr>
      <w:r>
        <w:t xml:space="preserve">•  Gopal Vinayak Godse v. State of Maharashtra, AIR 1961 SC 600</w:t>
      </w:r>
    </w:p>
    <w:p>
      <w:pPr>
        <w:pStyle w:val="Bullet"/>
      </w:pPr>
      <w:r>
        <w:t xml:space="preserve">•  Swamy Shraddananda (2) v. State of Karnataka, (2008) 13 SCC 767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https://firstprecedent.org/concepts/life-imprisonment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