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CN-0570 · Tort</w:t>
      </w:r>
    </w:p>
    <w:p>
      <w:pPr>
        <w:pStyle w:val="Title"/>
      </w:pPr>
      <w:r>
        <w:t xml:space="preserve">Libel and Slander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Defamation in permanent and in passing form, and why Indian law does not require proof of special damage for either.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D.P. Choudhary v. Kumari Manjulata, AIR 1997 Raj 170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https://firstprecedent.org/concepts/libel-and-slander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