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CN-0060 · Jurisprudence</w:t>
      </w:r>
    </w:p>
    <w:p>
      <w:pPr>
        <w:pStyle w:val="Title"/>
      </w:pPr>
      <w:r>
        <w:t xml:space="preserve">Right, Duty, Liberty and Power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Hohfeld’s analysis of what "a right" can mean, and how Indian courts use the distinctions in practice.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Wesley Newcomb Hohfeld, Some Fundamental Legal Conceptions as Applied in Judicial Reasoning, 23 Yale L.J. 16 (1913)</w:t>
      </w:r>
    </w:p>
    <w:p>
      <w:pPr>
        <w:pStyle w:val="Bullet"/>
      </w:pPr>
      <w:r>
        <w:t xml:space="preserve">•  State of Rajasthan v. Union of India, (1977) 3 SCC 592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https://firstprecedent.org/concepts/legal-right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