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CN-0467 · Administrative</w:t>
      </w:r>
    </w:p>
    <w:p>
      <w:pPr>
        <w:pStyle w:val="Title"/>
      </w:pPr>
      <w:r>
        <w:t xml:space="preserve">Laying before the Legislature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rules be placed before the House, the three forms it takes, and the effect of failing to comply.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Atlas Cycle Industries Ltd. v. State of Haryana, (1979) 2 SCC 196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https://firstprecedent.org/concepts/laying-before-the-legislature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