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CN-0003 · Constitutional</w:t>
      </w:r>
    </w:p>
    <w:p>
      <w:pPr>
        <w:pStyle w:val="Title"/>
      </w:pPr>
      <w:r>
        <w:t xml:space="preserve">Law under Article 13</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counts as "law" open to fundamental-rights review: statutes, delegated legislation, custom, personal law and constitutional amendments.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13</w:t>
      </w:r>
    </w:p>
    <w:p>
      <w:pPr>
        <w:pStyle w:val="Bullet"/>
      </w:pPr>
      <w:r>
        <w:t xml:space="preserve">•  State of Bombay v. Narasu Appa Mali, AIR 1952 Bom 84</w:t>
      </w:r>
    </w:p>
    <w:p>
      <w:pPr>
        <w:pStyle w:val="Bullet"/>
      </w:pPr>
      <w:r>
        <w:t xml:space="preserve">•  Kesavananda Bharati v. State of Kerala, (1973) 4 SCC 225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https://firstprecedent.org/concepts/law-under-article-13</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