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CN-0137 · Criminal</w:t>
      </w:r>
    </w:p>
    <w:p>
      <w:pPr>
        <w:pStyle w:val="Title"/>
      </w:pPr>
      <w:r>
        <w:t xml:space="preserve">Kidnapping and Abduction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Taking a minor out of lawful guardianship and compelling or deceiving a person to move, and the difference between taking and allowing to accompany.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359–362 (now Bharatiya Nyaya Sanhita, 2023, §§ 137, 138)</w:t>
      </w:r>
    </w:p>
    <w:p>
      <w:pPr>
        <w:pStyle w:val="Bullet"/>
      </w:pPr>
      <w:r>
        <w:t xml:space="preserve">•  S. Varadarajan v. State of Madras, AIR 1965 SC 942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https://firstprecedent.org/concepts/kidnapping-and-abduction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