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CN-0262 · Family</w:t>
      </w:r>
    </w:p>
    <w:p>
      <w:pPr>
        <w:pStyle w:val="Title"/>
      </w:pPr>
      <w:r>
        <w:t xml:space="preserve">Khula and Mubarat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Divorce at the instance of a Muslim wife and divorce by mutual agreement, and the statutory grounds on which she may go to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Dissolution of Muslim Marriages Act, 1939, § 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https://firstprecedent.org/concepts/khula-and-mubarat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