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CN-0606 · Corporate</w:t>
      </w:r>
    </w:p>
    <w:p>
      <w:pPr>
        <w:pStyle w:val="Title"/>
      </w:pPr>
      <w:r>
        <w:t xml:space="preserve">Key Managerial Personnel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officers every large company must appoint, and the liabilities attached to the positions.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2(51), 203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https://firstprecedent.org/concepts/key-managerial-personnel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