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CN-0039 · Family</w:t>
      </w:r>
    </w:p>
    <w:p>
      <w:pPr>
        <w:pStyle w:val="Title"/>
      </w:pPr>
      <w:r>
        <w:t xml:space="preserve">Karta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manager of a Hindu joint family: powers to bind the family, limits on alienation, and whether a woman can be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Sunil Kumar v. Ram Parkash, (1988) 2 SCC 77</w:t>
      </w:r>
    </w:p>
    <w:p>
      <w:pPr>
        <w:pStyle w:val="Bullet"/>
      </w:pPr>
      <w:r>
        <w:t xml:space="preserve">•  Sujata Sharma v. Manu Gupta, 2015 SCC OnLine Del 14424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https://firstprecedent.org/concepts/karta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