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CN-0118 · Administrative</w:t>
      </w:r>
    </w:p>
    <w:p>
      <w:pPr>
        <w:pStyle w:val="Title"/>
      </w:pPr>
      <w:r>
        <w:t xml:space="preserve">Jurisdictional Error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difference between an error that takes a body outside its powers and one made within them, and whether the difference still holds.</w:t>
      </w:r>
    </w:p>
    <w:p>
      <w:pPr>
        <w:pStyle w:val="Guidance"/>
      </w:pPr>
      <w:r>
        <w:t xml:space="preserve">Authorities to start from. These are places to begin, listed by the editors. Read each one in the original and check the citation before you rely on it.</w:t>
      </w:r>
    </w:p>
    <w:p>
      <w:pPr>
        <w:pStyle w:val="Bullet"/>
      </w:pPr>
      <w:r>
        <w:t xml:space="preserve">•  Anisminic Ltd. v. Foreign Compensation Commission, [1969] 2 AC 147</w:t>
      </w:r>
    </w:p>
    <w:p>
      <w:pPr>
        <w:pStyle w:val="Bullet"/>
      </w:pPr>
      <w:r>
        <w:t xml:space="preserve">•  Ujjam Bai v. State of U.P., AIR 1962 SC 1621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https://firstprecedent.org/concepts/jurisdictional-error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