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CN-0013 · Civil Procedure</w:t>
      </w:r>
    </w:p>
    <w:p>
      <w:pPr>
        <w:pStyle w:val="Title"/>
      </w:pPr>
      <w:r>
        <w:t xml:space="preserve">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Territorial, pecuniary and subject-matter jurisdiction; the difference between lacking jurisdiction and exercising it wrongly; and when objection is waived.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Kiran Singh v. Chaman Paswan, AIR 1954 SC 340</w:t>
      </w:r>
    </w:p>
    <w:p>
      <w:pPr>
        <w:pStyle w:val="Bullet"/>
      </w:pPr>
      <w:r>
        <w:t xml:space="preserve">•  Code of Civil Procedure, 1908, §§ 9, 15–21</w:t>
      </w:r>
    </w:p>
    <w:p>
      <w:pPr>
        <w:pStyle w:val="Bullet"/>
      </w:pPr>
      <w:r>
        <w:t xml:space="preserve">•  Dhulabhai v. State of M.P., AIR 1969 SC 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