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CN-0731 · International (Public)</w:t>
      </w:r>
    </w:p>
    <w:p>
      <w:pPr>
        <w:pStyle w:val="Title"/>
      </w:pPr>
      <w:r>
        <w:t xml:space="preserve">Jurisdiction of States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bases on which a State may apply its law: territory, nationality, protection and universality.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S.S. Lotus (Fr. v. Turk.), 1927 P.C.I.J. (ser. A) No. 10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https://firstprecedent.org/concepts/jurisdiction-of-states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