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CN-0200 · Civil Procedure</w:t>
      </w:r>
    </w:p>
    <w:p>
      <w:pPr>
        <w:pStyle w:val="Title"/>
      </w:pPr>
      <w:r>
        <w:t xml:space="preserve">Jurisdiction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to sue in one of several competent courts, why it cannot give jurisdiction to a court that has none, and how words of exclusion are read.</w:t>
      </w:r>
    </w:p>
    <w:p>
      <w:pPr>
        <w:pStyle w:val="Guidance"/>
      </w:pPr>
      <w:r>
        <w:t xml:space="preserve">Authorities to start from. These are places to begin, listed by the editors. Read each one in the original and check the citation before you rely on it.</w:t>
      </w:r>
    </w:p>
    <w:p>
      <w:pPr>
        <w:pStyle w:val="Bullet"/>
      </w:pPr>
      <w:r>
        <w:t xml:space="preserve">•  A.B.C. Laminart (P) Ltd. v. A.P. Agencies, (1989) 2 SCC 163</w:t>
      </w:r>
    </w:p>
    <w:p>
      <w:pPr>
        <w:pStyle w:val="Bullet"/>
      </w:pPr>
      <w:r>
        <w:t xml:space="preserve">•  Swastik Gases (P) Ltd. v. Indian Oil Corpn. Ltd., (2013) 9 SCC 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https://firstprecedent.org/concepts/jurisdiction-clause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