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CN-0233 · Tort</w:t>
      </w:r>
    </w:p>
    <w:p>
      <w:pPr>
        <w:pStyle w:val="Title"/>
      </w:pPr>
      <w:r>
        <w:t xml:space="preserve">Joint Tortfeasors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Persons answerable for the same damage, the claimant’s right to sue any of them for the whole, and the effect of releasing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Khushro S. Gandhi v. N.A. Guzder, (1969) 1 SCC 358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https://firstprecedent.org/concepts/joint-tortfeasors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