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CN-0146 · Criminal</w:t>
      </w:r>
    </w:p>
    <w:p>
      <w:pPr>
        <w:pStyle w:val="Title"/>
      </w:pPr>
      <w:r>
        <w:t xml:space="preserve">Investigation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police may do between the first report and the final report, and the magistrate’s power to order further investigation.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156, 173 (now Bharatiya Nagarik Suraksha Sanhita, 2023, §§ 175, 193)</w:t>
      </w:r>
    </w:p>
    <w:p>
      <w:pPr>
        <w:pStyle w:val="Bullet"/>
      </w:pPr>
      <w:r>
        <w:t xml:space="preserve">•  Vinubhai Haribhai Malaviya v. State of Gujarat, (2019) 17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https://firstprecedent.org/concepts/investigation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