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CN-0673 · Labour</w:t>
      </w:r>
    </w:p>
    <w:p>
      <w:pPr>
        <w:pStyle w:val="Title"/>
      </w:pPr>
      <w:r>
        <w:t xml:space="preserve">Internal Committee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every employer must set up to hear complaints of sexual harassment, and how it conducts an inquiry.</w:t>
      </w:r>
    </w:p>
    <w:p>
      <w:pPr>
        <w:pStyle w:val="Guidance"/>
      </w:pPr>
      <w:r>
        <w:t xml:space="preserve">Authorities to start from. These are places to begin, listed by the editors. Read each one in the original and check the citation before you rely on it.</w:t>
      </w:r>
    </w:p>
    <w:p>
      <w:pPr>
        <w:pStyle w:val="Bullet"/>
      </w:pPr>
      <w:r>
        <w:t xml:space="preserve">•  Sexual Harassment of Women at Workplace (Prevention, Prohibition and Redressal) Act, 2013, §§ 4, 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https://firstprecedent.org/concepts/internal-committee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