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CN-0031 · Tech &amp; Data</w:t>
      </w:r>
    </w:p>
    <w:p>
      <w:pPr>
        <w:pStyle w:val="Title"/>
      </w:pPr>
      <w:r>
        <w:t xml:space="preserve">Intermediary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an intermediary under the IT Act, what the safe harbour protects, and the conditions on which it is lost.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2(1)(w), 79</w:t>
      </w:r>
    </w:p>
    <w:p>
      <w:pPr>
        <w:pStyle w:val="Bullet"/>
      </w:pPr>
      <w:r>
        <w:t xml:space="preserve">•  Shreya Singhal v. Union of India, (2015) 5 SCC 1</w:t>
      </w:r>
    </w:p>
    <w:p>
      <w:pPr>
        <w:pStyle w:val="Bullet"/>
      </w:pPr>
      <w:r>
        <w:t xml:space="preserve">•  Google India (P) Ltd. v. Visaka Industries, (2020) 4 SCC 162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https://firstprecedent.org/concepts/intermediary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