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CN-0393 · Arbitration</w:t>
      </w:r>
    </w:p>
    <w:p>
      <w:pPr>
        <w:pStyle w:val="Title"/>
      </w:pPr>
      <w:r>
        <w:t xml:space="preserve">Interest on Awards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tribunal’s power to award interest before and after the award, and whether interest runs on interest.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31(7)</w:t>
      </w:r>
    </w:p>
    <w:p>
      <w:pPr>
        <w:pStyle w:val="Bullet"/>
      </w:pPr>
      <w:r>
        <w:t xml:space="preserve">•  Hyder Consulting (UK) Ltd. v. State of Orissa, (2015) 2 SCC 189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https://firstprecedent.org/concepts/interest-on-awards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