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CN-0668 · Labour</w:t>
      </w:r>
    </w:p>
    <w:p>
      <w:pPr>
        <w:pStyle w:val="Title"/>
      </w:pPr>
      <w:r>
        <w:t xml:space="preserve">Inter-State Migrant Workman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worker recruited in one State for work in another, and the allowances and facilities 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Inter-State Migrant Workmen (Regulation of Employment and Conditions of Service) Act, 1979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https://firstprecedent.org/concepts/inter-state-migrant-workman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