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CN-0749 · Private International</w:t>
      </w:r>
    </w:p>
    <w:p>
      <w:pPr>
        <w:pStyle w:val="Title"/>
      </w:pPr>
      <w:r>
        <w:t xml:space="preserve">Inter-Country Adoption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Adoption of an Indian child by persons abroad, the order of preference, and the safeguards against trafficking.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Juvenile Justice (Care and Protection of Children) Act, 2015, § 59</w:t>
      </w:r>
    </w:p>
    <w:p>
      <w:pPr>
        <w:pStyle w:val="Bullet"/>
      </w:pPr>
      <w:r>
        <w:t xml:space="preserve">•  Lakshmi Kant Pandey v. Union of India, (1984) 2 SCC 244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https://firstprecedent.org/concepts/inter-country-adoption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