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CN-0276 · Corporate</w:t>
      </w:r>
    </w:p>
    <w:p>
      <w:pPr>
        <w:pStyle w:val="Title"/>
      </w:pPr>
      <w:r>
        <w:t xml:space="preserve">Independent Director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director with no material link to the company or its promoters, the tests of independence, and the role the Act gives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149(6) and Schedule IV</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https://firstprecedent.org/concepts/independent-director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