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CN-0652 · Tax</w:t>
      </w:r>
    </w:p>
    <w:p>
      <w:pPr>
        <w:pStyle w:val="Title"/>
      </w:pPr>
      <w:r>
        <w:t xml:space="preserve">Income Tax Appellate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final court of fact in tax matters, from which appeal lies only on a substantial question of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252–254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https://firstprecedent.org/concepts/income-tax-appellate-tribunal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