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CN-0327 · Tax</w:t>
      </w:r>
    </w:p>
    <w:p>
      <w:pPr>
        <w:pStyle w:val="Title"/>
      </w:pPr>
      <w:r>
        <w:t xml:space="preserve">Impermissible Avoidance Arrangement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arrangement whose main purpose is a tax benefit and which lacks commercial substance, under the general anti-avoidance rule.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Income-tax Act, 1961, §§ 95–97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https://firstprecedent.org/concepts/impermissible-avoidance-arrangement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