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CN-0593 · Family</w:t>
      </w:r>
    </w:p>
    <w:p>
      <w:pPr>
        <w:pStyle w:val="Title"/>
      </w:pPr>
      <w:r>
        <w:t xml:space="preserve">Iddat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waiting period a Muslim woman observes after divorce or the husband’s death, and its bearing on maintenance.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Muslim Women (Protection of Rights on Divorce) Act, 1986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https://firstprecedent.org/concepts/iddat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