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CN-0299 · Competition</w:t>
      </w:r>
    </w:p>
    <w:p>
      <w:pPr>
        <w:pStyle w:val="Title"/>
      </w:pPr>
      <w:r>
        <w:t xml:space="preserve">Hub-and-Spoke Cartel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cartel run through a common supplier or platform, and the 2023 amendment that reaches a participant who is not a competitor.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3(3), proviso</w:t>
      </w:r>
    </w:p>
    <w:p>
      <w:pPr>
        <w:pStyle w:val="Bullet"/>
      </w:pPr>
      <w:r>
        <w:t xml:space="preserve">•  Competition (Amendment) Act, 2023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https://firstprecedent.org/concepts/hub-and-spoke-cartel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