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CN-0068 · Evidence</w:t>
      </w:r>
    </w:p>
    <w:p>
      <w:pPr>
        <w:pStyle w:val="Title"/>
      </w:pPr>
      <w:r>
        <w:t xml:space="preserve">Hostile Witness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 witness who turns against the party calling them, the leave to cross-examine, and what remains of their evidence.</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Evidence Act, 1872, § 154 (now Bharatiya Sakshya Adhiniyam, 2023, § 157)</w:t>
      </w:r>
    </w:p>
    <w:p>
      <w:pPr>
        <w:pStyle w:val="Bullet"/>
      </w:pPr>
      <w:r>
        <w:t xml:space="preserve">•  Sat Paul v. Delhi Administration, (1976) 1 SCC 727</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https://firstprecedent.org/concepts/hostile-witness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