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CN-0756 · Human Rights</w:t>
      </w:r>
    </w:p>
    <w:p>
      <w:pPr>
        <w:pStyle w:val="Title"/>
      </w:pPr>
      <w:r>
        <w:t xml:space="preserve">HIV Status and Discrimination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bar on discrimination against persons living with HIV in work, care and housing, and the rule on consent to testing.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Human Immunodeficiency Virus and Acquired Immune Deficiency Syndrome (Prevention and Control) Act, 2017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https://firstprecedent.org/concepts/hiv-status-and-discrimination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