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CN-0263 · Family</w:t>
      </w:r>
    </w:p>
    <w:p>
      <w:pPr>
        <w:pStyle w:val="Title"/>
      </w:pPr>
      <w:r>
        <w:t xml:space="preserve">Hiba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gift under Muslim law, its three essentials, and why it needs no writing or registration.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129</w:t>
      </w:r>
    </w:p>
    <w:p>
      <w:pPr>
        <w:pStyle w:val="Bullet"/>
      </w:pPr>
      <w:r>
        <w:t xml:space="preserve">•  Hafeeza Bibi v. Shaikh Farid, (2011) 5 SCC 654</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https://firstprecedent.org/concepts/hiba</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