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CN-0496 · Criminal</w:t>
      </w:r>
    </w:p>
    <w:p>
      <w:pPr>
        <w:pStyle w:val="Title"/>
      </w:pPr>
      <w:r>
        <w:t xml:space="preserve">Heinous Offence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class of offences for which a child above sixteen may be tried as an adult, and the gap in the definition the Supreme Court filled.</w:t>
      </w:r>
    </w:p>
    <w:p>
      <w:pPr>
        <w:pStyle w:val="Guidance"/>
      </w:pPr>
      <w:r>
        <w:t xml:space="preserve">Authorities to start from. These are places to begin, listed by the editors. Read each one in the original and check the citation before you rely on it.</w:t>
      </w:r>
    </w:p>
    <w:p>
      <w:pPr>
        <w:pStyle w:val="Bullet"/>
      </w:pPr>
      <w:r>
        <w:t xml:space="preserve">•  Juvenile Justice (Care and Protection of Children) Act, 2015, § 2(33)</w:t>
      </w:r>
    </w:p>
    <w:p>
      <w:pPr>
        <w:pStyle w:val="Bullet"/>
      </w:pPr>
      <w:r>
        <w:t xml:space="preserve">•  Shilpa Mittal v. State (NCT of Delhi), (2020) 2 SCC 787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https://firstprecedent.org/concepts/heinous-offence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