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CN-0162 · Media</w:t>
      </w:r>
    </w:p>
    <w:p>
      <w:pPr>
        <w:pStyle w:val="Title"/>
      </w:pPr>
      <w:r>
        <w:t xml:space="preserve">Hate Speech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Speech that attacks people for who they are, the offences used against it in the absence of a definition, and the tests courts apply.</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Pravasi Bhalai Sangathan v. Union of India, (2014) 11 SCC 477</w:t>
      </w:r>
    </w:p>
    <w:p>
      <w:pPr>
        <w:pStyle w:val="Bullet"/>
      </w:pPr>
      <w:r>
        <w:t xml:space="preserve">•  Amish Devgan v. Union of India, (2021)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https://firstprecedent.org/concepts/hate-speech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