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CN-0409 · Private International</w:t>
      </w:r>
    </w:p>
    <w:p>
      <w:pPr>
        <w:pStyle w:val="Title"/>
      </w:pPr>
      <w:r>
        <w:t xml:space="preserve">Habitual Residence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place where a person’s life is in fact centred, used in place of domicile in modern conventions on children and family.</w:t>
      </w:r>
    </w:p>
    <w:p>
      <w:pPr>
        <w:pStyle w:val="Guidance"/>
      </w:pPr>
      <w:r>
        <w:t xml:space="preserve">Authorities to start from. These are places to begin, listed by the editors. Read each one in the original and check the citation before you rely on it.</w:t>
      </w:r>
    </w:p>
    <w:p>
      <w:pPr>
        <w:pStyle w:val="Bullet"/>
      </w:pPr>
      <w:r>
        <w:t xml:space="preserve">•  Hague Convention on the Civil Aspects of International Child Abduction, Oct. 25, 1980, 1343 U.N.T.S. 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https://firstprecedent.org/concepts/habitual-residence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