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CN-0212 · Contract</w:t>
      </w:r>
    </w:p>
    <w:p>
      <w:pPr>
        <w:pStyle w:val="Title"/>
      </w:pPr>
      <w:r>
        <w:t xml:space="preserve">Guarantee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promise to answer for another’s debt or default, the three parties to it, and the events that discharge a surety.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126–147</w:t>
      </w:r>
    </w:p>
    <w:p>
      <w:pPr>
        <w:pStyle w:val="Bullet"/>
      </w:pPr>
      <w:r>
        <w:t xml:space="preserve">•  Bank of Bihar Ltd. v. Damodar Prasad, AIR 1969 SC 297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https://firstprecedent.org/concepts/guarantee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