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CN-0587 · Family</w:t>
      </w:r>
    </w:p>
    <w:p>
      <w:pPr>
        <w:pStyle w:val="Title"/>
      </w:pPr>
      <w:r>
        <w:t xml:space="preserve">Grounds of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fault grounds on which a Hindu marriage may be dissolved, and the additional grounds available to a wife.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https://firstprecedent.org/concepts/grounds-of-divorce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