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CN-0680 · IP</w:t>
      </w:r>
    </w:p>
    <w:p>
      <w:pPr>
        <w:pStyle w:val="Title"/>
      </w:pPr>
      <w:r>
        <w:t xml:space="preserve">Groundless Threats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remedy for a person threatened with infringement proceedings without basis.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142</w:t>
      </w:r>
    </w:p>
    <w:p>
      <w:pPr>
        <w:pStyle w:val="Bullet"/>
      </w:pPr>
      <w:r>
        <w:t xml:space="preserve">•  Copyright Act, 1957, § 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https://firstprecedent.org/concepts/groundless-threats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